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Kantorbox analizuje czy się da przewidzieć kursy walut?</w:t>
      </w:r>
    </w:p>
    <w:p>
      <w:pPr>
        <w:spacing w:before="0" w:after="500" w:line="264" w:lineRule="auto"/>
      </w:pPr>
      <w:r>
        <w:rPr>
          <w:rFonts w:ascii="calibri" w:hAnsi="calibri" w:eastAsia="calibri" w:cs="calibri"/>
          <w:sz w:val="36"/>
          <w:szCs w:val="36"/>
          <w:b/>
        </w:rPr>
        <w:t xml:space="preserve">Procesy zachodzące na międzynarodowym rynku walutowym oraz inne wydarzenia, które odbijają się na kursach walutowych sprawiają, że coraz trudniej przeprowadzać rzeczowe spekulacje przewidujące przyszłe notowania aktywów. Problem analityków walutowych wynika z kilku podstawowych czynników, które postaramy się opisać w niniejszym artykule.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Najważniejszymi elementami, które utrudniają dokonywanie poprawnych spekulacji są:</w:t>
      </w:r>
    </w:p>
    <w:p/>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dodruki środków - oficjalne oraz zakulisowe dodruki pieniędzy.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manipulowanie kursami przy pomocy derywatów – jednym z popularnych działań stosowanych przez inwestorów jest manipulowanie rynkiem Forex korzystając z derywatów, czyli instrumentów finansowych niebędących papierem wartościowym. Mowa tutaj w szczególności o takich instrumentach finansowych, których wartość uzależniona jest od tych samych wskaźników co waluty (np. od wysokości stóp procentowych).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ustalanie kursów sztywnych – niektóre banki centralne, najczęściej uzależnione od rządu, decydują się na sztuczne powstrzymywanie kursów przed nagłym spadkiem lub wzrostem wartości. W tym celu wykorzystywane są różnego rodzaju mechanizmy, które w wielu przypadkach obciążają budżet państwa.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rezygnacja z kursów fixed peg - rezygnacja zawiązywania waluty z kursem innej waluty obcej lub z koszykiem walut.</w:t>
      </w:r>
    </w:p>
    <w:p/>
    <w:p/>
    <w:p>
      <w:r>
        <w:rPr>
          <w:rFonts w:ascii="calibri" w:hAnsi="calibri" w:eastAsia="calibri" w:cs="calibri"/>
          <w:sz w:val="24"/>
          <w:szCs w:val="24"/>
        </w:rPr>
        <w:t xml:space="preserve">Coraz bardziej istotne dla analityków walutowych stały się na przestrzeni lat wysokości stóp procentowych ustalane przez banki centralne. Jednym z przykładów wpływu zmiany tego wskaźnika na międzynarodowy rynek walutowy Forex może być decyzja Szwedzkiego Banku Centralnego z 2015 roku. Instytucja ta zdecydowała się obniżyć stopy procentowe poniżej zera oraz oświadczyła, że zamierza masowo skupywać obligacje rządowe. Analitycy walutowi bardzo rzadko spotykają się z tego typu sytuacją, więc trudno było im spekulować o dalszych losach tamtejszego pieniądza. Nie wiedzieli bowiem, jak rynek Forex zareaguje na oświadczenia przedstawicieli Szwedzkiego Banku Centralnego. Pamiętajmy również, że nie wszystkie instytucje zapowiadają zmianę swojej polityki monetarnej. Za przykłady mogą posłużyć tutaj banki centralne Rosji, Indii, Szwajcarii czy Singapuru. Nie publikują one harmonogramu działania, przez co waluty znajdujące się pod kontrolą tych instytucji wiążą się z dużym ryzykiem w oczach inwestorów. Jest to sytuacja o tyle problematyczna, że waluty takie jak rubel czy frank szwajcarski mają duże znaczenie dla kondycji całego rynku walutowego. Przykładem nieoczekiwanej decyzji banku centralnego może być uwolnienie helweckiej waluty z mechanizmów sztucznego powstrzymywania jej przed aprecjacją, co poskutkowało błyskawicznym i drastycznym wzrostem wartości franka szwajcarskiego. Od tamtego czasu europejscy kredytobiorcy, którzy zdecydowali się na zaciągnięcie kredytu walutowego, borykają się ze spłatą znacząco wyższej raty. </w:t>
      </w:r>
    </w:p>
    <w:p>
      <w:pPr>
        <w:spacing w:before="0" w:after="300"/>
      </w:pPr>
      <w:r>
        <w:rPr>
          <w:rFonts w:ascii="calibri" w:hAnsi="calibri" w:eastAsia="calibri" w:cs="calibri"/>
          <w:sz w:val="24"/>
          <w:szCs w:val="24"/>
        </w:rPr>
        <w:t xml:space="preserve">Analizując rynek walutowy należy również pamiętać, że wiele decyzji kluczowych dla Forex podejmowanych jest za „zamkniętymi drzwiami”. Właśnie dlatego posiedzenia przedstawicieli banków centralnych cieszą się tak dużym zainteresowaniem nie tylko mediów, ale również samych inwestorów. Liczą się zarówno same decyzje, jak i nastroje panujące podczas konferencji, które potrafią odbić się na notowaniach walut.</w:t>
      </w:r>
    </w:p>
    <w:p>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2025-11-20T11:16:07+01:00</dcterms:created>
  <dcterms:modified xsi:type="dcterms:W3CDTF">2025-11-20T11:16:07+01:00</dcterms:modified>
</cp:coreProperties>
</file>

<file path=docProps/custom.xml><?xml version="1.0" encoding="utf-8"?>
<Properties xmlns="http://schemas.openxmlformats.org/officeDocument/2006/custom-properties" xmlns:vt="http://schemas.openxmlformats.org/officeDocument/2006/docPropsVTypes"/>
</file>