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Kim jest statystyczny frankowicz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Frank szwajcarski jest najpopularniejszą walutą obcą, w której Polacy zaciągają kredyt. Wie o tym chyba każdy, bo o frankowiczach było w ostatnich latach bardzo głośno. Przyjrzyjmy się jednak typowemu frankowiczowi.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były udzielane kredyty walutowe</w:t>
      </w:r>
    </w:p>
    <w:p>
      <w:r>
        <w:rPr>
          <w:rFonts w:ascii="calibri" w:hAnsi="calibri" w:eastAsia="calibri" w:cs="calibri"/>
          <w:sz w:val="24"/>
          <w:szCs w:val="24"/>
        </w:rPr>
        <w:t xml:space="preserve">Kredyty walutowe stały się popularne w naszym kraju w 2005 roku, czyli chwilę po wejściu naszego kraju do Unii Europejskiej, i były udzielane intensywnie aż do 2012 roku. 2012 rok był bowiem ostatnim rokiem, w którym udzielano ich taką skalę. Wynika to z faktu, że w 2012 roku w Polsce bardzo nasiliły się protesty społeczne organizowane przez kredytobiorców, którym diametralnie wzrosła rata kredytu. Na zdjęciu dołączonym do artykułu dokładnie widać jak wzrastał kurs franka na przestrzeni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Żeby złagodzić nastroje społeczne, w sierpniu 2012 roku ówczesny minister gospodarki Waldemar Pawlak, przeforsował wprowadzenie tzw. ustawy antyspreadowej. Ustawa antyspreadowa dawała możliwość spłaty kredytów przez kredytobiorców walutą zakupioną poza bankiem udzielającym kredytu. Obawy klientów, a także działania rządu i instytucji nadzorczych (NBP, ZBP i KNF) doprowadziły do tego, że w 2013 roku, kiedy frank był bardzo drogi, praktycznie nie udzielano już kredytów walutowych, a jeżeli już to tylko osobom otrzymującym dochód w obcej walucie. W 2013 roku tylko 0,89% wartości wszystkich kredytów to kredyty w euro, a ledwo 0,01% w niegdyś bardzo popularnym franku szwajcarskim.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Oznacza to, że społeczeństwo zostało zadłużone we franku w latach kiedy był on najtańszy. Uniemożliwiając z kolei takie zadłużenie już później. To pewny paradox.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Kim był/jest typowy frankowicz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 Informacji Kredytowej opublikowało ciekawą statystykę dotyczącą tej grupy kredytobiorców. Poniżej prezentujemy najważniejsze wnioski z niej płynące: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Typowy frankowicz nie działa sam. Prawie w każdym przypadku zawiera umowę z bankiem wspólnie z inną osobą, niemal zawsze przeciwnej płci.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Typowy frankowicz, sumiennie spłaca raty. Zaledwie 1,5 % kredytobiorców zalega z ratami. Pytanie, czy to tak dobrze świadczy to tej grupie konsumentów, czy raczej o skuteczności banków przy weryfikowaniu potencjalnych kontrahentów.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Aż 3/4 frankowiczów posiada jeszcze inne zobowiązania bankowe, co wpisuje się w charakterystyczny dla krajów kapitalistycznych obraz konsumenta żyjącego na kredyt.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Aż 2/3 frankowiczów to osoby między 35 a 50 rokiem życia.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Co dziesiąty z nich mieszka w stolicy.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Wśród najmłodszych osób, tylko około 50 tysięcy osób (poniżej 35 roku życia) zaciągnęło kredyt we frankach.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Statystyki te, poza ubywaniem kredytobiorców, zasadniczo zmieniać się nie będą. Wszak państwo wprowadziło ograniczenia przy zaciąganiu kredytów w walucie obcej, a poza – co by nie mówić – kredyt niezłotowy stał się passe.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Autor: Damian Nowicki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adwokat 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Kancelarii Adwokacko Radcowskiej Kacprzak Kowalak</w:t>
        </w:r>
      </w:hyperlink>
      <w:r>
        <w:rPr>
          <w:rFonts w:ascii="calibri" w:hAnsi="calibri" w:eastAsia="calibri" w:cs="calibri"/>
          <w:sz w:val="24"/>
          <w:szCs w:val="24"/>
        </w:rPr>
        <w:t xml:space="preserve">, specjalizujący się w sprawach dotyczących powództwa kredytobiorców walutowych wytoczonego przeciwko polskim bankom.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kacprzak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2026-10-11T02:49:47+02:00</dcterms:created>
  <dcterms:modified xsi:type="dcterms:W3CDTF">2026-10-11T02:49:47+02:00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